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55F306E" w:rsidR="001A53D6" w:rsidRPr="00C66E4D" w:rsidRDefault="00EE5A17" w:rsidP="00D06917">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JOCR-2958</w:t>
            </w:r>
            <w:bookmarkStart w:id="0" w:name="_GoBack"/>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174F8593" w:rsidR="003069E0" w:rsidRPr="00C66E4D" w:rsidRDefault="00EE5A17"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EE5A17">
              <w:rPr>
                <w:rFonts w:ascii="Times New Roman" w:hAnsi="Times New Roman" w:cs="Times New Roman"/>
                <w:b/>
                <w:color w:val="000000" w:themeColor="text1"/>
              </w:rPr>
              <w:t>Sidiropoulos</w:t>
            </w:r>
            <w:proofErr w:type="spellEnd"/>
            <w:r w:rsidRPr="00EE5A17">
              <w:rPr>
                <w:rFonts w:ascii="Times New Roman" w:hAnsi="Times New Roman" w:cs="Times New Roman"/>
                <w:b/>
                <w:color w:val="000000" w:themeColor="text1"/>
              </w:rPr>
              <w:t xml:space="preserve"> Andreas</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69B0C850"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EE5A17" w:rsidRPr="00EE5A17">
              <w:rPr>
                <w:rFonts w:ascii="Times New Roman" w:eastAsia="Times New Roman" w:hAnsi="Times New Roman" w:cs="Times New Roman"/>
                <w:b/>
                <w:bCs/>
                <w:color w:val="000000" w:themeColor="text1"/>
                <w:shd w:val="clear" w:color="auto" w:fill="FFFFFF"/>
                <w:lang w:val="en-IN" w:eastAsia="en-IN"/>
              </w:rPr>
              <w:t>Management of the Axilla in Breast Cancer Surgery</w:t>
            </w:r>
          </w:p>
          <w:p w14:paraId="34EF65C3" w14:textId="70DAF110" w:rsidR="006129C6" w:rsidRDefault="00140858" w:rsidP="00957E2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w:t>
            </w:r>
            <w:r w:rsidR="00C86E49">
              <w:t xml:space="preserve"> </w:t>
            </w:r>
            <w:r w:rsidR="00EE5A17" w:rsidRPr="00EE5A17">
              <w:rPr>
                <w:rFonts w:ascii="Times New Roman" w:eastAsia="Times New Roman" w:hAnsi="Times New Roman" w:cs="Times New Roman"/>
                <w:bCs/>
                <w:color w:val="000000" w:themeColor="text1"/>
                <w:shd w:val="clear" w:color="auto" w:fill="FFFFFF"/>
                <w:lang w:val="en-IN" w:eastAsia="en-IN"/>
              </w:rPr>
              <w:t>Overall, the review provides valuable insights into the evolving landscape of axillary management in breast cancer surgery and offers practical recommendations based on current evidence. With some refinements in organization, conciseness, and visual presentation, it could become even more impactful for its target audience.</w:t>
            </w:r>
          </w:p>
          <w:p w14:paraId="7A8EFAF6" w14:textId="0EB3D0B1" w:rsidR="0001339B" w:rsidRPr="00EE5A17" w:rsidRDefault="00EE5A17" w:rsidP="00EE5A17">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E5A17">
              <w:rPr>
                <w:rFonts w:ascii="Times New Roman" w:eastAsia="Times New Roman" w:hAnsi="Times New Roman" w:cs="Times New Roman"/>
                <w:bCs/>
                <w:color w:val="000000" w:themeColor="text1"/>
                <w:shd w:val="clear" w:color="auto" w:fill="FFFFFF"/>
                <w:lang w:val="en-IN" w:eastAsia="en-IN"/>
              </w:rPr>
              <w:t xml:space="preserve">The review covers a wide range of topics related to axillary management in breast cancer surgery, including the historical evolution of surgical techniques, current clinical trial findings, implications for different breast cancer subtypes, and special circumstances like </w:t>
            </w:r>
            <w:proofErr w:type="spellStart"/>
            <w:r w:rsidRPr="00EE5A17">
              <w:rPr>
                <w:rFonts w:ascii="Times New Roman" w:eastAsia="Times New Roman" w:hAnsi="Times New Roman" w:cs="Times New Roman"/>
                <w:bCs/>
                <w:color w:val="000000" w:themeColor="text1"/>
                <w:shd w:val="clear" w:color="auto" w:fill="FFFFFF"/>
                <w:lang w:val="en-IN" w:eastAsia="en-IN"/>
              </w:rPr>
              <w:t>neoadjuvant</w:t>
            </w:r>
            <w:proofErr w:type="spellEnd"/>
            <w:r w:rsidRPr="00EE5A17">
              <w:rPr>
                <w:rFonts w:ascii="Times New Roman" w:eastAsia="Times New Roman" w:hAnsi="Times New Roman" w:cs="Times New Roman"/>
                <w:bCs/>
                <w:color w:val="000000" w:themeColor="text1"/>
                <w:shd w:val="clear" w:color="auto" w:fill="FFFFFF"/>
                <w:lang w:val="en-IN" w:eastAsia="en-IN"/>
              </w:rPr>
              <w:t xml:space="preserve"> chemotherapy and occult breast cancer.</w:t>
            </w:r>
          </w:p>
          <w:p w14:paraId="2359D70A" w14:textId="5B791250" w:rsidR="00EE5A17" w:rsidRPr="00EE5A17" w:rsidRDefault="00EE5A17" w:rsidP="00EE5A17">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E5A17">
              <w:rPr>
                <w:rFonts w:ascii="Times New Roman" w:eastAsia="Times New Roman" w:hAnsi="Times New Roman" w:cs="Times New Roman"/>
                <w:bCs/>
                <w:color w:val="000000" w:themeColor="text1"/>
                <w:shd w:val="clear" w:color="auto" w:fill="FFFFFF"/>
                <w:lang w:val="en-IN" w:eastAsia="en-IN"/>
              </w:rPr>
              <w:t xml:space="preserve">The information presented </w:t>
            </w:r>
            <w:proofErr w:type="gramStart"/>
            <w:r w:rsidRPr="00EE5A17">
              <w:rPr>
                <w:rFonts w:ascii="Times New Roman" w:eastAsia="Times New Roman" w:hAnsi="Times New Roman" w:cs="Times New Roman"/>
                <w:bCs/>
                <w:color w:val="000000" w:themeColor="text1"/>
                <w:shd w:val="clear" w:color="auto" w:fill="FFFFFF"/>
                <w:lang w:val="en-IN" w:eastAsia="en-IN"/>
              </w:rPr>
              <w:t>is supported</w:t>
            </w:r>
            <w:proofErr w:type="gramEnd"/>
            <w:r w:rsidRPr="00EE5A17">
              <w:rPr>
                <w:rFonts w:ascii="Times New Roman" w:eastAsia="Times New Roman" w:hAnsi="Times New Roman" w:cs="Times New Roman"/>
                <w:bCs/>
                <w:color w:val="000000" w:themeColor="text1"/>
                <w:shd w:val="clear" w:color="auto" w:fill="FFFFFF"/>
                <w:lang w:val="en-IN" w:eastAsia="en-IN"/>
              </w:rPr>
              <w:t xml:space="preserve"> by references to numerous clinical trials, guidelines, and meta-analyses, enhancing the credibility of the review.</w:t>
            </w:r>
          </w:p>
          <w:p w14:paraId="4EC07CED" w14:textId="35F71C13" w:rsidR="00EE5A17" w:rsidRPr="00EE5A17" w:rsidRDefault="00EE5A17" w:rsidP="00EE5A17">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E5A17">
              <w:rPr>
                <w:rFonts w:ascii="Times New Roman" w:eastAsia="Times New Roman" w:hAnsi="Times New Roman" w:cs="Times New Roman"/>
                <w:bCs/>
                <w:color w:val="000000" w:themeColor="text1"/>
                <w:shd w:val="clear" w:color="auto" w:fill="FFFFFF"/>
                <w:lang w:val="en-IN" w:eastAsia="en-IN"/>
              </w:rPr>
              <w:t>Incorporating visual aids like tables, diagrams, or flowcharts could help illustrate key concepts, treatment algorithms, or study findings, making the information more digestible and memorable for readers.</w:t>
            </w:r>
          </w:p>
          <w:p w14:paraId="1855B564" w14:textId="39997D61" w:rsidR="00EE5A17" w:rsidRPr="00EE5A17" w:rsidRDefault="00EE5A17" w:rsidP="00EE5A17">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E5A17">
              <w:rPr>
                <w:rFonts w:ascii="Times New Roman" w:eastAsia="Times New Roman" w:hAnsi="Times New Roman" w:cs="Times New Roman"/>
                <w:bCs/>
                <w:color w:val="000000" w:themeColor="text1"/>
                <w:shd w:val="clear" w:color="auto" w:fill="FFFFFF"/>
                <w:lang w:val="en-IN" w:eastAsia="en-IN"/>
              </w:rPr>
              <w:t xml:space="preserve">Provide a more detailed discussion on the management of the axilla in special circumstances, such as </w:t>
            </w:r>
            <w:proofErr w:type="spellStart"/>
            <w:r w:rsidRPr="00EE5A17">
              <w:rPr>
                <w:rFonts w:ascii="Times New Roman" w:eastAsia="Times New Roman" w:hAnsi="Times New Roman" w:cs="Times New Roman"/>
                <w:bCs/>
                <w:color w:val="000000" w:themeColor="text1"/>
                <w:shd w:val="clear" w:color="auto" w:fill="FFFFFF"/>
                <w:lang w:val="en-IN" w:eastAsia="en-IN"/>
              </w:rPr>
              <w:t>neoadjuvant</w:t>
            </w:r>
            <w:proofErr w:type="spellEnd"/>
            <w:r w:rsidRPr="00EE5A17">
              <w:rPr>
                <w:rFonts w:ascii="Times New Roman" w:eastAsia="Times New Roman" w:hAnsi="Times New Roman" w:cs="Times New Roman"/>
                <w:bCs/>
                <w:color w:val="000000" w:themeColor="text1"/>
                <w:shd w:val="clear" w:color="auto" w:fill="FFFFFF"/>
                <w:lang w:val="en-IN" w:eastAsia="en-IN"/>
              </w:rPr>
              <w:t xml:space="preserve"> chemotherapy and occult breast cancer with axillary metastases.</w:t>
            </w:r>
          </w:p>
          <w:p w14:paraId="506BCA94" w14:textId="6FCC6CAD" w:rsidR="00EE5A17" w:rsidRPr="00EE5A17" w:rsidRDefault="00EE5A17" w:rsidP="00EE5A17">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E5A17">
              <w:rPr>
                <w:rFonts w:ascii="Times New Roman" w:eastAsia="Times New Roman" w:hAnsi="Times New Roman" w:cs="Times New Roman"/>
                <w:bCs/>
                <w:color w:val="000000" w:themeColor="text1"/>
                <w:shd w:val="clear" w:color="auto" w:fill="FFFFFF"/>
                <w:lang w:val="en-IN" w:eastAsia="en-IN"/>
              </w:rPr>
              <w:t>Summarize the key findings and their implications for clinical practice. Consider highlighting areas for future research or developments in the field.</w:t>
            </w:r>
          </w:p>
          <w:p w14:paraId="10722575" w14:textId="77777777" w:rsidR="00EE5A17" w:rsidRDefault="00EE5A17" w:rsidP="0001339B">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81C2A" w14:textId="77777777" w:rsidR="00CC536D" w:rsidRDefault="00CC536D" w:rsidP="00F65AB0">
      <w:pPr>
        <w:spacing w:after="0" w:line="240" w:lineRule="auto"/>
      </w:pPr>
      <w:r>
        <w:separator/>
      </w:r>
    </w:p>
  </w:endnote>
  <w:endnote w:type="continuationSeparator" w:id="0">
    <w:p w14:paraId="104B0C3E" w14:textId="77777777" w:rsidR="00CC536D" w:rsidRDefault="00CC536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6F3DA" w14:textId="77777777" w:rsidR="00CC536D" w:rsidRDefault="00CC536D" w:rsidP="00F65AB0">
      <w:pPr>
        <w:spacing w:after="0" w:line="240" w:lineRule="auto"/>
      </w:pPr>
      <w:r>
        <w:separator/>
      </w:r>
    </w:p>
  </w:footnote>
  <w:footnote w:type="continuationSeparator" w:id="0">
    <w:p w14:paraId="68B3B4D5" w14:textId="77777777" w:rsidR="00CC536D" w:rsidRDefault="00CC536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11A2B"/>
    <w:multiLevelType w:val="hybridMultilevel"/>
    <w:tmpl w:val="409CF0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9"/>
  </w:num>
  <w:num w:numId="4">
    <w:abstractNumId w:val="1"/>
  </w:num>
  <w:num w:numId="5">
    <w:abstractNumId w:val="8"/>
  </w:num>
  <w:num w:numId="6">
    <w:abstractNumId w:val="33"/>
  </w:num>
  <w:num w:numId="7">
    <w:abstractNumId w:val="28"/>
  </w:num>
  <w:num w:numId="8">
    <w:abstractNumId w:val="21"/>
  </w:num>
  <w:num w:numId="9">
    <w:abstractNumId w:val="27"/>
  </w:num>
  <w:num w:numId="10">
    <w:abstractNumId w:val="29"/>
  </w:num>
  <w:num w:numId="11">
    <w:abstractNumId w:val="13"/>
  </w:num>
  <w:num w:numId="12">
    <w:abstractNumId w:val="24"/>
  </w:num>
  <w:num w:numId="13">
    <w:abstractNumId w:val="18"/>
  </w:num>
  <w:num w:numId="14">
    <w:abstractNumId w:val="25"/>
  </w:num>
  <w:num w:numId="15">
    <w:abstractNumId w:val="20"/>
  </w:num>
  <w:num w:numId="16">
    <w:abstractNumId w:val="11"/>
  </w:num>
  <w:num w:numId="17">
    <w:abstractNumId w:val="2"/>
  </w:num>
  <w:num w:numId="18">
    <w:abstractNumId w:val="16"/>
  </w:num>
  <w:num w:numId="19">
    <w:abstractNumId w:val="23"/>
  </w:num>
  <w:num w:numId="20">
    <w:abstractNumId w:val="19"/>
  </w:num>
  <w:num w:numId="21">
    <w:abstractNumId w:val="7"/>
  </w:num>
  <w:num w:numId="22">
    <w:abstractNumId w:val="34"/>
  </w:num>
  <w:num w:numId="23">
    <w:abstractNumId w:val="3"/>
  </w:num>
  <w:num w:numId="24">
    <w:abstractNumId w:val="26"/>
  </w:num>
  <w:num w:numId="25">
    <w:abstractNumId w:val="6"/>
  </w:num>
  <w:num w:numId="26">
    <w:abstractNumId w:val="15"/>
  </w:num>
  <w:num w:numId="27">
    <w:abstractNumId w:val="17"/>
  </w:num>
  <w:num w:numId="28">
    <w:abstractNumId w:val="10"/>
  </w:num>
  <w:num w:numId="29">
    <w:abstractNumId w:val="31"/>
  </w:num>
  <w:num w:numId="30">
    <w:abstractNumId w:val="14"/>
  </w:num>
  <w:num w:numId="31">
    <w:abstractNumId w:val="12"/>
  </w:num>
  <w:num w:numId="32">
    <w:abstractNumId w:val="32"/>
  </w:num>
  <w:num w:numId="33">
    <w:abstractNumId w:val="4"/>
  </w:num>
  <w:num w:numId="34">
    <w:abstractNumId w:val="30"/>
  </w:num>
  <w:num w:numId="3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259B"/>
    <w:rsid w:val="00022642"/>
    <w:rsid w:val="00023AF3"/>
    <w:rsid w:val="000259A0"/>
    <w:rsid w:val="00026121"/>
    <w:rsid w:val="0003177D"/>
    <w:rsid w:val="00031CC3"/>
    <w:rsid w:val="000321C7"/>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536D"/>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5A17"/>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79203067">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791657">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CF27F-DFC2-4695-ABCF-8DD0905D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2024-04-20T05:48:00Z</dcterms:created>
  <dcterms:modified xsi:type="dcterms:W3CDTF">2024-04-20T05:48:00Z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